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FF" w:rsidRPr="00AB5BBD" w:rsidRDefault="006C39FF" w:rsidP="00AB5BBD">
      <w:pPr>
        <w:jc w:val="center"/>
        <w:rPr>
          <w:rFonts w:ascii="Times New Roman" w:hAnsi="Times New Roman" w:cs="Times New Roman"/>
          <w:b/>
        </w:rPr>
      </w:pPr>
      <w:r w:rsidRPr="00AB5BBD">
        <w:rPr>
          <w:rFonts w:ascii="Times New Roman" w:hAnsi="Times New Roman" w:cs="Times New Roman"/>
          <w:b/>
        </w:rPr>
        <w:t>Перечень индикаторов риска на рушения обязательных требований, порядок отнесения объектов контроля к категориям риска</w:t>
      </w:r>
    </w:p>
    <w:tbl>
      <w:tblPr>
        <w:tblStyle w:val="a4"/>
        <w:tblW w:w="0" w:type="auto"/>
        <w:tblLook w:val="04A0"/>
      </w:tblPr>
      <w:tblGrid>
        <w:gridCol w:w="724"/>
        <w:gridCol w:w="6472"/>
        <w:gridCol w:w="1939"/>
        <w:gridCol w:w="2409"/>
        <w:gridCol w:w="1134"/>
        <w:gridCol w:w="1985"/>
      </w:tblGrid>
      <w:tr w:rsidR="006C39FF" w:rsidRPr="00AB5BBD" w:rsidTr="006C39FF">
        <w:tc>
          <w:tcPr>
            <w:tcW w:w="724" w:type="dxa"/>
          </w:tcPr>
          <w:p w:rsidR="006C39FF" w:rsidRPr="00AB5BBD" w:rsidRDefault="006C39FF">
            <w:pPr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AB5B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B5BBD">
              <w:rPr>
                <w:rFonts w:ascii="Times New Roman" w:hAnsi="Times New Roman" w:cs="Times New Roman"/>
              </w:rPr>
              <w:t>/</w:t>
            </w:r>
            <w:proofErr w:type="spellStart"/>
            <w:r w:rsidRPr="00AB5B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843" w:type="dxa"/>
            <w:gridSpan w:val="5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Индикатор риска</w:t>
            </w:r>
          </w:p>
        </w:tc>
      </w:tr>
      <w:tr w:rsidR="006C39FF" w:rsidRPr="00AB5BBD" w:rsidTr="006C39FF">
        <w:tc>
          <w:tcPr>
            <w:tcW w:w="724" w:type="dxa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2" w:type="dxa"/>
          </w:tcPr>
          <w:p w:rsidR="006C39FF" w:rsidRPr="00AB5BBD" w:rsidRDefault="00AB5BBD" w:rsidP="00AB5BBD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 xml:space="preserve">Неиспользование земельного участка из земель сельскохозяйственного назначения, оборот которых регулируется Федеральным </w:t>
            </w:r>
            <w:hyperlink r:id="rId5" w:tooltip="Федеральный закон от 24.07.2002 N 101-ФЗ (ред. от 28.06.2021) &quot;Об обороте земель сельскохозяйственного назначения&quot; (с изм. и доп., вступ. в силу с 01.09.2021){КонсультантПлюс}" w:history="1">
              <w:r w:rsidRPr="00AB5BBD">
                <w:rPr>
                  <w:rFonts w:ascii="Times New Roman" w:hAnsi="Times New Roman" w:cs="Times New Roman"/>
                </w:rPr>
                <w:t>законом</w:t>
              </w:r>
            </w:hyperlink>
            <w:r w:rsidRPr="00AB5BBD">
              <w:rPr>
                <w:rFonts w:ascii="Times New Roman" w:hAnsi="Times New Roman" w:cs="Times New Roman"/>
              </w:rPr>
              <w:t xml:space="preserve"> от 24.07.2002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</w:t>
            </w:r>
          </w:p>
        </w:tc>
        <w:tc>
          <w:tcPr>
            <w:tcW w:w="1843" w:type="dxa"/>
            <w:vMerge w:val="restart"/>
            <w:vAlign w:val="center"/>
          </w:tcPr>
          <w:p w:rsidR="006C39FF" w:rsidRPr="00AB5BBD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BBD">
              <w:rPr>
                <w:rFonts w:ascii="Times New Roman" w:hAnsi="Times New Roman" w:cs="Times New Roman"/>
                <w:color w:val="000000"/>
              </w:rPr>
              <w:t>Предшествующий год</w:t>
            </w:r>
          </w:p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6C39FF" w:rsidRPr="00AB5BBD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BBD">
              <w:rPr>
                <w:rFonts w:ascii="Times New Roman" w:hAnsi="Times New Roman" w:cs="Times New Roman"/>
                <w:color w:val="000000"/>
              </w:rPr>
              <w:t>Текущий год</w:t>
            </w:r>
          </w:p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39FF" w:rsidRPr="00AB5BBD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BBD">
              <w:rPr>
                <w:rFonts w:ascii="Times New Roman" w:hAnsi="Times New Roman" w:cs="Times New Roman"/>
                <w:color w:val="000000"/>
              </w:rPr>
              <w:t>%</w:t>
            </w:r>
          </w:p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C39FF" w:rsidRPr="00AB5BBD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BBD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AB5BBD" w:rsidTr="006C39FF">
        <w:tc>
          <w:tcPr>
            <w:tcW w:w="724" w:type="dxa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2" w:type="dxa"/>
          </w:tcPr>
          <w:p w:rsidR="006C39FF" w:rsidRPr="00AB5BBD" w:rsidRDefault="00AB5BBD" w:rsidP="00AB5BBD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</w:t>
            </w:r>
          </w:p>
        </w:tc>
        <w:tc>
          <w:tcPr>
            <w:tcW w:w="1843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AB5BBD" w:rsidTr="006C39FF">
        <w:tc>
          <w:tcPr>
            <w:tcW w:w="724" w:type="dxa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2" w:type="dxa"/>
          </w:tcPr>
          <w:p w:rsidR="006C39FF" w:rsidRPr="00AB5BBD" w:rsidRDefault="00AB5BBD" w:rsidP="00AB5BBD">
            <w:pPr>
              <w:pStyle w:val="a5"/>
              <w:ind w:left="567"/>
              <w:jc w:val="center"/>
              <w:rPr>
                <w:sz w:val="22"/>
                <w:szCs w:val="22"/>
              </w:rPr>
            </w:pPr>
            <w:proofErr w:type="gramStart"/>
            <w:r w:rsidRPr="00AB5BBD">
              <w:rPr>
                <w:sz w:val="22"/>
                <w:szCs w:val="22"/>
              </w:rPr>
              <w:t>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относящиеся к многолетним насаждениям (в том числе садам, виноградникам)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AB5BBD" w:rsidTr="006C39FF">
        <w:tc>
          <w:tcPr>
            <w:tcW w:w="724" w:type="dxa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2" w:type="dxa"/>
          </w:tcPr>
          <w:p w:rsidR="006C39FF" w:rsidRPr="00AB5BBD" w:rsidRDefault="00AB5BBD" w:rsidP="00AB5B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center"/>
              <w:rPr>
                <w:sz w:val="22"/>
                <w:szCs w:val="22"/>
              </w:rPr>
            </w:pPr>
            <w:proofErr w:type="gramStart"/>
            <w:r w:rsidRPr="00AB5BBD">
              <w:rPr>
                <w:sz w:val="22"/>
                <w:szCs w:val="22"/>
              </w:rPr>
              <w:t>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4 гектаров при условии, что каждый из указанных участков находится в собственности более трех лет, и такое лицо не является членом крестьянского фермерского хозяйства, участником юридического лица либо индивидуальным предпринимателем, которые осуществляют деятельность по сельскохозяйственному производству, либо не передало указанные земли во</w:t>
            </w:r>
            <w:proofErr w:type="gramEnd"/>
            <w:r w:rsidRPr="00AB5BBD">
              <w:rPr>
                <w:sz w:val="22"/>
                <w:szCs w:val="22"/>
              </w:rPr>
              <w:t xml:space="preserve"> владение или пользование таким лицам.</w:t>
            </w:r>
          </w:p>
        </w:tc>
        <w:tc>
          <w:tcPr>
            <w:tcW w:w="1843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AB5BBD" w:rsidTr="006C39FF">
        <w:tc>
          <w:tcPr>
            <w:tcW w:w="724" w:type="dxa"/>
          </w:tcPr>
          <w:p w:rsidR="006C39FF" w:rsidRPr="00AB5BBD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72" w:type="dxa"/>
          </w:tcPr>
          <w:p w:rsidR="00AB5BBD" w:rsidRPr="00AB5BBD" w:rsidRDefault="00AB5BBD" w:rsidP="00AB5BBD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Факт нахождения в собственности у физического лица одного или нескольких земельных участков общей площадью не менее 4 гектаров при одновременном наличии следующих условий:</w:t>
            </w:r>
          </w:p>
          <w:p w:rsidR="00AB5BBD" w:rsidRPr="00AB5BBD" w:rsidRDefault="00AB5BBD" w:rsidP="00AB5BB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lastRenderedPageBreak/>
              <w:t>1)  каждый из указанных участков находится в собственности более трех лет;</w:t>
            </w:r>
          </w:p>
          <w:p w:rsidR="00AB5BBD" w:rsidRPr="00AB5BBD" w:rsidRDefault="00AB5BBD" w:rsidP="00AB5BB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2) лицо имеет постоянную регистрацию на территории иного субъекта Российской Федерации, не имеющего общую административную границу;</w:t>
            </w:r>
          </w:p>
          <w:p w:rsidR="00AB5BBD" w:rsidRPr="00AB5BBD" w:rsidRDefault="00AB5BBD" w:rsidP="00AB5BBD">
            <w:pPr>
              <w:jc w:val="center"/>
              <w:rPr>
                <w:rFonts w:ascii="Times New Roman" w:hAnsi="Times New Roman" w:cs="Times New Roman"/>
              </w:rPr>
            </w:pPr>
            <w:r w:rsidRPr="00AB5BBD">
              <w:rPr>
                <w:rFonts w:ascii="Times New Roman" w:hAnsi="Times New Roman" w:cs="Times New Roman"/>
              </w:rPr>
              <w:t>3) земельные участки не переданы во владение или пользование иным лицам.</w:t>
            </w:r>
          </w:p>
          <w:p w:rsidR="006C39FF" w:rsidRPr="00AB5BBD" w:rsidRDefault="006C39FF" w:rsidP="00AB5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AB5BBD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6738" w:rsidRPr="00AB5BBD" w:rsidRDefault="00756738">
      <w:pPr>
        <w:rPr>
          <w:rFonts w:ascii="Times New Roman" w:hAnsi="Times New Roman" w:cs="Times New Roman"/>
        </w:rPr>
      </w:pPr>
    </w:p>
    <w:sectPr w:rsidR="00756738" w:rsidRPr="00AB5BBD" w:rsidSect="006C39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7473D"/>
    <w:multiLevelType w:val="hybridMultilevel"/>
    <w:tmpl w:val="26308318"/>
    <w:lvl w:ilvl="0" w:tplc="903013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39FF"/>
    <w:rsid w:val="004846A3"/>
    <w:rsid w:val="006C39FF"/>
    <w:rsid w:val="00756738"/>
    <w:rsid w:val="00AB5BBD"/>
    <w:rsid w:val="00EE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0B"/>
  </w:style>
  <w:style w:type="paragraph" w:styleId="1">
    <w:name w:val="heading 1"/>
    <w:basedOn w:val="a"/>
    <w:link w:val="10"/>
    <w:uiPriority w:val="9"/>
    <w:qFormat/>
    <w:rsid w:val="006C3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C39FF"/>
    <w:rPr>
      <w:b/>
      <w:bCs/>
    </w:rPr>
  </w:style>
  <w:style w:type="table" w:styleId="a4">
    <w:name w:val="Table Grid"/>
    <w:basedOn w:val="a1"/>
    <w:uiPriority w:val="59"/>
    <w:rsid w:val="006C3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5B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AB5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7BF720F2674C01D4B5E2EB424417305C6B67E45F1D8F42362984A3B10403132FB38E969B1FD96BD8E384440DkFL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4</cp:revision>
  <dcterms:created xsi:type="dcterms:W3CDTF">2025-10-23T12:02:00Z</dcterms:created>
  <dcterms:modified xsi:type="dcterms:W3CDTF">2025-10-24T13:16:00Z</dcterms:modified>
</cp:coreProperties>
</file>